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E293B"/>
          <w:sz w:val="34"/>
          <w:szCs w:val="34"/>
        </w:rPr>
        <w:t xml:space="preserve">Marcus Chen</w:t>
      </w:r>
    </w:p>
    <w:p>
      <w:pPr>
        <w:spacing w:after="50"/>
        <w:jc w:val="center"/>
      </w:pPr>
      <w:r>
        <w:rPr>
          <w:b/>
          <w:bCs/>
          <w:color w:val="78350F"/>
          <w:sz w:val="18"/>
          <w:szCs w:val="18"/>
        </w:rPr>
        <w:t xml:space="preserve">Senior Investment &amp; Financial Analyst</w:t>
      </w:r>
    </w:p>
    <w:p>
      <w:pPr>
        <w:spacing w:after="120"/>
        <w:jc w:val="center"/>
      </w:pPr>
      <w:r>
        <w:rPr>
          <w:color w:val="64748B"/>
          <w:sz w:val="15"/>
          <w:szCs w:val="15"/>
        </w:rPr>
        <w:t xml:space="preserve">London, UK · +44 20 7946 0912 · marcus.chen@finance.co.uk · linkedin.com/in/marcuschenfinance</w:t>
      </w:r>
    </w:p>
    <w:p>
      <w:pPr>
        <w:pBdr>
          <w:bottom w:val="single" w:color="78350F" w:sz="12" w:space="4"/>
        </w:pBdr>
        <w:spacing w:after="60" w:before="140"/>
      </w:pPr>
      <w:r>
        <w:rPr>
          <w:b/>
          <w:bCs/>
          <w:color w:val="78350F"/>
          <w:sz w:val="19"/>
          <w:szCs w:val="19"/>
        </w:rPr>
        <w:t xml:space="preserve">PROFESSIONAL SUMMARY</w:t>
      </w:r>
    </w:p>
    <w:p>
      <w:pPr>
        <w:spacing w:after="140" w:line="260"/>
      </w:pPr>
      <w:r>
        <w:rPr>
          <w:color w:val="334155"/>
          <w:sz w:val="18"/>
          <w:szCs w:val="18"/>
        </w:rPr>
        <w:t xml:space="preserve">Investment Banking &amp; Corporate Finance Analyst with 5+ years building complex financial models, conducting LBO/DCF valuations, and executing buy-side due diligence for technology acquisitions.</w:t>
      </w:r>
    </w:p>
    <w:p>
      <w:pPr>
        <w:pBdr>
          <w:bottom w:val="single" w:color="78350F" w:sz="12" w:space="4"/>
        </w:pBdr>
        <w:spacing w:after="60" w:before="140"/>
      </w:pPr>
      <w:r>
        <w:rPr>
          <w:b/>
          <w:bCs/>
          <w:color w:val="78350F"/>
          <w:sz w:val="19"/>
          <w:szCs w:val="19"/>
        </w:rPr>
        <w:t xml:space="preserve">EXPERIENCE</w:t>
      </w:r>
    </w:p>
    <w:p>
      <w:pPr>
        <w:spacing w:after="20" w:before="50"/>
      </w:pPr>
      <w:r>
        <w:rPr>
          <w:b/>
          <w:bCs/>
          <w:color w:val="0F172A"/>
          <w:sz w:val="19"/>
          <w:szCs w:val="19"/>
        </w:rPr>
        <w:t xml:space="preserve">Senior Financial Analyst</w:t>
      </w:r>
      <w:r>
        <w:t xml:space="preserve"> — </w:t>
      </w:r>
      <w:r>
        <w:rPr>
          <w:b/>
          <w:bCs/>
          <w:color w:val="78350F"/>
          <w:sz w:val="19"/>
          <w:szCs w:val="19"/>
        </w:rPr>
        <w:t xml:space="preserve">Barclays Investment Bank</w:t>
      </w:r>
    </w:p>
    <w:p>
      <w:pPr>
        <w:spacing w:after="40"/>
      </w:pPr>
      <w:r>
        <w:rPr>
          <w:color w:val="64748B"/>
          <w:sz w:val="16"/>
          <w:szCs w:val="16"/>
        </w:rPr>
        <w:t xml:space="preserve">2022 – Present  •  London, UK</w:t>
      </w:r>
    </w:p>
    <w:p>
      <w:pPr>
        <w:pStyle w:val="ListParagraph"/>
        <w:numPr>
          <w:ilvl w:val="0"/>
          <w:numId w:val="1"/>
        </w:numPr>
        <w:spacing w:after="30" w:line="250"/>
      </w:pPr>
      <w:r>
        <w:rPr>
          <w:color w:val="334155"/>
          <w:sz w:val="18"/>
          <w:szCs w:val="18"/>
        </w:rPr>
        <w:t xml:space="preserve">Built three-statement financial models and DCF valuations for 9 technology M&amp;A transactions totalling £1.4B.</w:t>
      </w:r>
    </w:p>
    <w:p>
      <w:pPr>
        <w:pStyle w:val="ListParagraph"/>
        <w:numPr>
          <w:ilvl w:val="0"/>
          <w:numId w:val="1"/>
        </w:numPr>
        <w:spacing w:after="30" w:line="250"/>
      </w:pPr>
      <w:r>
        <w:rPr>
          <w:color w:val="334155"/>
          <w:sz w:val="18"/>
          <w:szCs w:val="18"/>
        </w:rPr>
        <w:t xml:space="preserve">Automated quarterly portfolio performance reporting in Python and Power BI, saving 20 analyst hours per month.</w:t>
      </w:r>
    </w:p>
    <w:p>
      <w:pPr>
        <w:pStyle w:val="ListParagraph"/>
        <w:numPr>
          <w:ilvl w:val="0"/>
          <w:numId w:val="1"/>
        </w:numPr>
        <w:spacing w:after="100" w:line="250"/>
      </w:pPr>
      <w:r>
        <w:rPr>
          <w:color w:val="334155"/>
          <w:sz w:val="18"/>
          <w:szCs w:val="18"/>
        </w:rPr>
        <w:t xml:space="preserve">Prepared confidential information memorandums (CIM) and investor presentation decks for board meetings.</w:t>
      </w:r>
    </w:p>
    <w:p>
      <w:pPr>
        <w:spacing w:after="20" w:before="50"/>
      </w:pPr>
      <w:r>
        <w:rPr>
          <w:b/>
          <w:bCs/>
          <w:color w:val="0F172A"/>
          <w:sz w:val="19"/>
          <w:szCs w:val="19"/>
        </w:rPr>
        <w:t xml:space="preserve">Private Equity Analyst</w:t>
      </w:r>
      <w:r>
        <w:t xml:space="preserve"> — </w:t>
      </w:r>
      <w:r>
        <w:rPr>
          <w:b/>
          <w:bCs/>
          <w:color w:val="78350F"/>
          <w:sz w:val="19"/>
          <w:szCs w:val="19"/>
        </w:rPr>
        <w:t xml:space="preserve">Bridgepoint Capital</w:t>
      </w:r>
    </w:p>
    <w:p>
      <w:pPr>
        <w:spacing w:after="40"/>
      </w:pPr>
      <w:r>
        <w:rPr>
          <w:color w:val="64748B"/>
          <w:sz w:val="16"/>
          <w:szCs w:val="16"/>
        </w:rPr>
        <w:t xml:space="preserve">2020 – 2022  •  London, UK</w:t>
      </w:r>
    </w:p>
    <w:p>
      <w:pPr>
        <w:pStyle w:val="ListParagraph"/>
        <w:numPr>
          <w:ilvl w:val="0"/>
          <w:numId w:val="1"/>
        </w:numPr>
        <w:spacing w:after="30" w:line="250"/>
      </w:pPr>
      <w:r>
        <w:rPr>
          <w:color w:val="334155"/>
          <w:sz w:val="18"/>
          <w:szCs w:val="18"/>
        </w:rPr>
        <w:t xml:space="preserve">Conducted financial due diligence on 6 European SaaS buyout targets.</w:t>
      </w:r>
    </w:p>
    <w:p>
      <w:pPr>
        <w:pStyle w:val="ListParagraph"/>
        <w:numPr>
          <w:ilvl w:val="0"/>
          <w:numId w:val="1"/>
        </w:numPr>
        <w:spacing w:after="100" w:line="250"/>
      </w:pPr>
      <w:r>
        <w:rPr>
          <w:color w:val="334155"/>
          <w:sz w:val="18"/>
          <w:szCs w:val="18"/>
        </w:rPr>
        <w:t xml:space="preserve">Identified operational working capital efficiencies unlocking £22M in annual cash flow.</w:t>
      </w:r>
    </w:p>
    <w:p>
      <w:pPr>
        <w:pBdr>
          <w:bottom w:val="single" w:color="78350F" w:sz="12" w:space="4"/>
        </w:pBdr>
        <w:spacing w:after="60" w:before="140"/>
      </w:pPr>
      <w:r>
        <w:rPr>
          <w:b/>
          <w:bCs/>
          <w:color w:val="78350F"/>
          <w:sz w:val="19"/>
          <w:szCs w:val="19"/>
        </w:rPr>
        <w:t xml:space="preserve">CORE SKILLS &amp; TECHNOLOGIES</w:t>
      </w:r>
    </w:p>
    <w:p>
      <w:pPr>
        <w:spacing w:after="120"/>
      </w:pPr>
      <w:r>
        <w:rPr>
          <w:color w:val="334155"/>
          <w:sz w:val="18"/>
          <w:szCs w:val="18"/>
        </w:rPr>
        <w:t xml:space="preserve">• LBO &amp; DCF Financial Modeling   • M&amp;A Due Diligence   • Corporate Valuation   • Python (pandas/numpy) &amp; SQL   • Power BI &amp; Bloomberg Terminal</w:t>
      </w:r>
    </w:p>
    <w:p>
      <w:pPr>
        <w:pBdr>
          <w:bottom w:val="single" w:color="78350F" w:sz="12" w:space="4"/>
        </w:pBdr>
        <w:spacing w:after="60" w:before="140"/>
      </w:pPr>
      <w:r>
        <w:rPr>
          <w:b/>
          <w:bCs/>
          <w:color w:val="78350F"/>
          <w:sz w:val="19"/>
          <w:szCs w:val="19"/>
        </w:rPr>
        <w:t xml:space="preserve">EDUCATION</w:t>
      </w:r>
    </w:p>
    <w:p>
      <w:pPr>
        <w:spacing w:after="30"/>
      </w:pPr>
      <w:r>
        <w:rPr>
          <w:b/>
          <w:bCs/>
          <w:color w:val="0F172A"/>
          <w:sz w:val="18"/>
          <w:szCs w:val="18"/>
        </w:rPr>
        <w:t xml:space="preserve">B.Sc., Economics &amp; Finance</w:t>
      </w:r>
      <w:r>
        <w:rPr>
          <w:color w:val="475569"/>
          <w:sz w:val="18"/>
          <w:szCs w:val="18"/>
        </w:rPr>
        <w:t xml:space="preserve"> — London School of Economics (LSE) (2017 – 2020)</w:t>
      </w:r>
    </w:p>
    <w:sectPr>
      <w:pgSz w:w="11906" w:h="16838" w:orient="portrait"/>
      <w:pgMar w:top="600" w:right="720" w:bottom="6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Bronze Minimalist Resume Template</dc:title>
  <dc:creator>ReachRole</dc:creator>
  <cp:lastModifiedBy>Un-named</cp:lastModifiedBy>
  <cp:revision>1</cp:revision>
  <dcterms:created xsi:type="dcterms:W3CDTF">2026-09-23T19:10:18.285Z</dcterms:created>
  <dcterms:modified xsi:type="dcterms:W3CDTF">2026-09-23T19:10:18.285Z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