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9600"/>
      </w:tblGrid>
      <w:tr>
        <w:tc>
          <w:tcPr>
            <w:shd w:fill="166534" w:val="clear"/>
            <w:tcMar>
              <w:top w:type="dxa" w:w="240"/>
              <w:left w:type="dxa" w:w="300"/>
              <w:bottom w:type="dxa" w:w="240"/>
              <w:right w:type="dxa" w:w="300"/>
            </w:tcMar>
          </w:tcPr>
          <w:p>
            <w:pPr>
              <w:spacing w:after="40"/>
            </w:pPr>
            <w:r>
              <w:rPr>
                <w:b/>
                <w:bCs/>
                <w:color w:val="FFFFFF"/>
                <w:sz w:val="34"/>
                <w:szCs w:val="34"/>
              </w:rPr>
              <w:t xml:space="preserve">Marcus Chen</w:t>
            </w:r>
          </w:p>
          <w:p>
            <w:pPr>
              <w:spacing w:after="60"/>
            </w:pPr>
            <w:r>
              <w:rPr>
                <w:b/>
                <w:bCs/>
                <w:color w:val="FFF1F2"/>
                <w:sz w:val="20"/>
                <w:szCs w:val="20"/>
              </w:rPr>
              <w:t xml:space="preserve">VP of Product &amp; General Manager</w:t>
            </w:r>
          </w:p>
          <w:p>
            <w:pPr>
              <w:spacing w:after="40"/>
            </w:pPr>
            <w:r>
              <w:rPr>
                <w:color w:val="FFFFFF"/>
                <w:sz w:val="16"/>
                <w:szCs w:val="16"/>
              </w:rPr>
              <w:t xml:space="preserve">London, UK · +44 20 7946 0912 · marcus.chen@reachrole.app · linkedin.com/in/marcuschengm</w:t>
            </w:r>
          </w:p>
        </w:tc>
      </w:tr>
    </w:tbl>
    <w:p>
      <w:pPr>
        <w:spacing w:after="120"/>
      </w:pP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3400"/>
        <w:gridCol w:w="6000"/>
      </w:tblGrid>
      <w:tr>
        <w:tc>
          <w:tcPr>
            <w:tcW w:type="dxa" w:w="3400"/>
            <w:tcMar>
              <w:top w:type="dxa" w:w="120"/>
              <w:left w:type="dxa" w:w="100"/>
              <w:bottom w:type="dxa" w:w="120"/>
              <w:right w:type="dxa" w:w="240"/>
            </w:tcMar>
          </w:tcPr>
          <w:p>
            <w:pPr>
              <w:pBdr>
                <w:bottom w:val="single" w:color="166534" w:sz="12" w:space="4"/>
              </w:pBdr>
              <w:spacing w:after="60" w:before="100"/>
            </w:pPr>
            <w:r>
              <w:rPr>
                <w:b/>
                <w:bCs/>
                <w:color w:val="166534"/>
                <w:sz w:val="20"/>
                <w:szCs w:val="20"/>
              </w:rPr>
              <w:t xml:space="preserve">SKILLS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Product Strategy &amp; Roadmap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P&amp;L Management ($50M+)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Executive Stakeholder Mgt</w:t>
            </w:r>
          </w:p>
          <w:p>
            <w:pPr>
              <w:spacing w:after="40"/>
            </w:pPr>
            <w:r>
              <w:rPr>
                <w:color w:val="1E293B"/>
                <w:sz w:val="18"/>
                <w:szCs w:val="18"/>
              </w:rPr>
              <w:t xml:space="preserve">• Enterprise SaaS Metrics</w:t>
            </w:r>
          </w:p>
          <w:p>
            <w:pPr>
              <w:spacing w:after="120"/>
            </w:pPr>
            <w:r>
              <w:rPr>
                <w:color w:val="1E293B"/>
                <w:sz w:val="18"/>
                <w:szCs w:val="18"/>
              </w:rPr>
              <w:t xml:space="preserve">• M&amp;A Diligence &amp; Integration</w:t>
            </w:r>
          </w:p>
          <w:p>
            <w:pPr>
              <w:pBdr>
                <w:bottom w:val="single" w:color="166534" w:sz="12" w:space="4"/>
              </w:pBdr>
              <w:spacing w:after="60" w:before="100"/>
            </w:pPr>
            <w:r>
              <w:rPr>
                <w:b/>
                <w:bCs/>
                <w:color w:val="166534"/>
                <w:sz w:val="20"/>
                <w:szCs w:val="20"/>
              </w:rPr>
              <w:t xml:space="preserve">CERTIFICATIONS</w:t>
            </w:r>
          </w:p>
          <w:p>
            <w:pPr>
              <w:spacing w:after="40"/>
            </w:pPr>
            <w:r>
              <w:rPr>
                <w:b/>
                <w:bCs/>
                <w:color w:val="1E293B"/>
                <w:sz w:val="17"/>
                <w:szCs w:val="17"/>
              </w:rPr>
              <w:t/>
            </w:r>
          </w:p>
          <w:p>
            <w:pPr>
              <w:spacing w:after="80"/>
            </w:pPr>
            <w:r>
              <w:rPr>
                <w:b/>
                <w:bCs/>
                <w:color w:val="1E293B"/>
                <w:sz w:val="17"/>
                <w:szCs w:val="17"/>
              </w:rPr>
              <w:t/>
            </w:r>
          </w:p>
        </w:tc>
        <w:tc>
          <w:tcPr>
            <w:tcW w:type="dxa" w:w="6000"/>
            <w:tcMar>
              <w:top w:type="dxa" w:w="120"/>
              <w:left w:type="dxa" w:w="240"/>
              <w:bottom w:type="dxa" w:w="120"/>
              <w:right w:type="dxa" w:w="100"/>
            </w:tcMar>
          </w:tcPr>
          <w:p>
            <w:pPr>
              <w:pBdr>
                <w:bottom w:val="single" w:color="166534" w:sz="12" w:space="4"/>
              </w:pBdr>
              <w:spacing w:after="60" w:before="100"/>
            </w:pPr>
            <w:r>
              <w:rPr>
                <w:b/>
                <w:bCs/>
                <w:color w:val="166534"/>
                <w:sz w:val="20"/>
                <w:szCs w:val="20"/>
              </w:rPr>
              <w:t xml:space="preserve">SUMMARY</w:t>
            </w:r>
          </w:p>
          <w:p>
            <w:pPr>
              <w:spacing w:after="140" w:line="260"/>
            </w:pPr>
            <w:r>
              <w:rPr>
                <w:color w:val="334155"/>
                <w:sz w:val="18"/>
                <w:szCs w:val="18"/>
              </w:rPr>
              <w:t xml:space="preserve">Product Executive with 12+ years building and scaling B2B enterprise SaaS products from $5M to $80M ARR. Passionate about product-led growth, cross-functional team leadership, and international expansion.</w:t>
            </w:r>
          </w:p>
          <w:p>
            <w:pPr>
              <w:pBdr>
                <w:bottom w:val="single" w:color="166534" w:sz="12" w:space="4"/>
              </w:pBdr>
              <w:spacing w:after="60" w:before="100"/>
            </w:pPr>
            <w:r>
              <w:rPr>
                <w:b/>
                <w:bCs/>
                <w:color w:val="166534"/>
                <w:sz w:val="20"/>
                <w:szCs w:val="20"/>
              </w:rPr>
              <w:t xml:space="preserve">EXPERIENCE</w:t>
            </w:r>
          </w:p>
          <w:p>
            <w:pPr>
              <w:spacing w:after="20" w:before="4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VP of Product</w:t>
            </w:r>
            <w:r>
              <w:t xml:space="preserve"> — </w:t>
            </w:r>
            <w:r>
              <w:rPr>
                <w:b/>
                <w:bCs/>
                <w:color w:val="166534"/>
                <w:sz w:val="19"/>
                <w:szCs w:val="19"/>
              </w:rPr>
              <w:t xml:space="preserve">FinFlow Technologies</w:t>
            </w:r>
          </w:p>
          <w:p>
            <w:pPr>
              <w:spacing w:after="40"/>
            </w:pPr>
            <w:r>
              <w:rPr>
                <w:color w:val="64748B"/>
                <w:sz w:val="16"/>
                <w:szCs w:val="16"/>
              </w:rPr>
              <w:t xml:space="preserve">2021 – Present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Scaled product organization from 12 to 45 members, delivering 3 core revenue products that grew ARR from £18M to £65M.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Reduced customer onboarding churn by 32% through product-led onboarding experiments.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100" w:line="250"/>
            </w:pPr>
            <w:r>
              <w:rPr>
                <w:color w:val="334155"/>
                <w:sz w:val="18"/>
                <w:szCs w:val="18"/>
              </w:rPr>
              <w:t xml:space="preserve">Spearheaded European market entry, acquiring 80,000 active business accounts in 12 months.</w:t>
            </w:r>
          </w:p>
          <w:p>
            <w:pPr>
              <w:spacing w:after="20" w:before="4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Director of Product Management</w:t>
            </w:r>
            <w:r>
              <w:t xml:space="preserve"> — </w:t>
            </w:r>
            <w:r>
              <w:rPr>
                <w:b/>
                <w:bCs/>
                <w:color w:val="166534"/>
                <w:sz w:val="19"/>
                <w:szCs w:val="19"/>
              </w:rPr>
              <w:t xml:space="preserve">Revolut</w:t>
            </w:r>
          </w:p>
          <w:p>
            <w:pPr>
              <w:spacing w:after="40"/>
            </w:pPr>
            <w:r>
              <w:rPr>
                <w:color w:val="64748B"/>
                <w:sz w:val="16"/>
                <w:szCs w:val="16"/>
              </w:rPr>
              <w:t xml:space="preserve">2017 – 2021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Owned Revolut Business merchant acquiring platform handling over £1.2B monthly volume.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100" w:line="250"/>
            </w:pPr>
            <w:r>
              <w:rPr>
                <w:color w:val="334155"/>
                <w:sz w:val="18"/>
                <w:szCs w:val="18"/>
              </w:rPr>
              <w:t xml:space="preserve">Launched instant international settlements, generating £12M in annual high-margin revenue.</w:t>
            </w:r>
          </w:p>
          <w:p>
            <w:pPr>
              <w:pBdr>
                <w:bottom w:val="single" w:color="166534" w:sz="12" w:space="4"/>
              </w:pBdr>
              <w:spacing w:after="60" w:before="100"/>
            </w:pPr>
            <w:r>
              <w:rPr>
                <w:b/>
                <w:bCs/>
                <w:color w:val="166534"/>
                <w:sz w:val="20"/>
                <w:szCs w:val="20"/>
              </w:rPr>
              <w:t xml:space="preserve">EDUCATION</w:t>
            </w:r>
          </w:p>
          <w:p>
            <w:pPr>
              <w:spacing w:after="30"/>
            </w:pPr>
            <w:r>
              <w:rPr>
                <w:b/>
                <w:bCs/>
                <w:color w:val="0F172A"/>
                <w:sz w:val="18"/>
                <w:szCs w:val="18"/>
              </w:rPr>
              <w:t xml:space="preserve">MBA, Strategy &amp; Finance</w:t>
            </w:r>
            <w:r>
              <w:rPr>
                <w:color w:val="475569"/>
                <w:sz w:val="18"/>
                <w:szCs w:val="18"/>
              </w:rPr>
              <w:t xml:space="preserve"> — London Business School (LBS) (2015 – 2017)</w:t>
            </w:r>
          </w:p>
        </w:tc>
      </w:tr>
    </w:tbl>
    <w:sectPr>
      <w:pgSz w:w="11906" w:h="16838" w:orient="portrait"/>
      <w:pgMar w:top="540" w:right="540" w:bottom="540" w:left="5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Olive Executive Resume Template</dc:title>
  <dc:creator>ReachRole</dc:creator>
  <cp:lastModifiedBy>Un-named</cp:lastModifiedBy>
  <cp:revision>1</cp:revision>
  <dcterms:created xsi:type="dcterms:W3CDTF">2026-10-25T18:05:46.506Z</dcterms:created>
  <dcterms:modified xsi:type="dcterms:W3CDTF">2026-10-25T18:05:46.506Z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