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166534" w:val="clear"/>
            <w:tcMar>
              <w:top w:type="dxa" w:w="240"/>
              <w:left w:type="dxa" w:w="300"/>
              <w:bottom w:type="dxa" w:w="240"/>
              <w:right w:type="dxa" w:w="3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Marcus Chen</w:t>
            </w:r>
          </w:p>
          <w:p>
            <w:pPr>
              <w:spacing w:after="60"/>
            </w:pPr>
            <w:r>
              <w:rPr>
                <w:b/>
                <w:bCs/>
                <w:color w:val="FFF1F2"/>
                <w:sz w:val="20"/>
                <w:szCs w:val="20"/>
              </w:rPr>
              <w:t xml:space="preserve">VP of Product &amp; General Manager</w:t>
            </w:r>
          </w:p>
          <w:p>
            <w:pPr>
              <w:spacing w:after="40"/>
            </w:pPr>
            <w:r>
              <w:rPr>
                <w:color w:val="FFFFFF"/>
                <w:sz w:val="16"/>
                <w:szCs w:val="16"/>
              </w:rPr>
              <w:t xml:space="preserve">London, UK · +44 20 7946 0912 · marcus.chen@reachrole.app · linkedin.com/in/marcuschengm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0"/>
            <w:tcMar>
              <w:top w:type="dxa" w:w="120"/>
              <w:left w:type="dxa" w:w="100"/>
              <w:bottom w:type="dxa" w:w="120"/>
              <w:right w:type="dxa" w:w="240"/>
            </w:tcMar>
          </w:tcPr>
          <w:p>
            <w:pPr>
              <w:pBdr>
                <w:bottom w:val="single" w:color="166534" w:sz="12" w:space="4"/>
              </w:pBdr>
              <w:spacing w:after="60" w:before="100"/>
            </w:pPr>
            <w:r>
              <w:rPr>
                <w:b/>
                <w:bCs/>
                <w:color w:val="166534"/>
                <w:sz w:val="20"/>
                <w:szCs w:val="20"/>
              </w:rPr>
              <w:t xml:space="preserve">SKILLS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Product Strategy &amp; Roadmap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P&amp;L Management ($50M+)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Executive Stakeholder Mgt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Enterprise SaaS Metrics</w:t>
            </w:r>
          </w:p>
          <w:p>
            <w:pPr>
              <w:spacing w:after="120"/>
            </w:pPr>
            <w:r>
              <w:rPr>
                <w:color w:val="1E293B"/>
                <w:sz w:val="18"/>
                <w:szCs w:val="18"/>
              </w:rPr>
              <w:t xml:space="preserve">• M&amp;A Diligence &amp; Integration</w:t>
            </w:r>
          </w:p>
          <w:p>
            <w:pPr>
              <w:pBdr>
                <w:bottom w:val="single" w:color="166534" w:sz="12" w:space="4"/>
              </w:pBdr>
              <w:spacing w:after="60" w:before="100"/>
            </w:pPr>
            <w:r>
              <w:rPr>
                <w:b/>
                <w:bCs/>
                <w:color w:val="166534"/>
                <w:sz w:val="20"/>
                <w:szCs w:val="20"/>
              </w:rPr>
              <w:t xml:space="preserve">CERTIFICATIONS</w:t>
            </w:r>
          </w:p>
          <w:p>
            <w:pPr>
              <w:spacing w:after="40"/>
            </w:pPr>
            <w:r>
              <w:rPr>
                <w:b/>
                <w:bCs/>
                <w:color w:val="1E293B"/>
                <w:sz w:val="17"/>
                <w:szCs w:val="17"/>
              </w:rPr>
              <w:t/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7"/>
                <w:szCs w:val="17"/>
              </w:rPr>
              <w:t/>
            </w:r>
          </w:p>
        </w:tc>
        <w:tc>
          <w:tcPr>
            <w:tcW w:type="dxa" w:w="6000"/>
            <w:tcMar>
              <w:top w:type="dxa" w:w="120"/>
              <w:left w:type="dxa" w:w="240"/>
              <w:bottom w:type="dxa" w:w="120"/>
              <w:right w:type="dxa" w:w="100"/>
            </w:tcMar>
          </w:tcPr>
          <w:p>
            <w:pPr>
              <w:pBdr>
                <w:bottom w:val="single" w:color="166534" w:sz="12" w:space="4"/>
              </w:pBdr>
              <w:spacing w:after="60" w:before="100"/>
            </w:pPr>
            <w:r>
              <w:rPr>
                <w:b/>
                <w:bCs/>
                <w:color w:val="166534"/>
                <w:sz w:val="20"/>
                <w:szCs w:val="20"/>
              </w:rPr>
              <w:t xml:space="preserve">SUMMARY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Product Executive with 12+ years building and scaling B2B enterprise SaaS products from $5M to $80M ARR. Passionate about product-led growth, cross-functional team leadership, and international expansion.</w:t>
            </w:r>
          </w:p>
          <w:p>
            <w:pPr>
              <w:pBdr>
                <w:bottom w:val="single" w:color="166534" w:sz="12" w:space="4"/>
              </w:pBdr>
              <w:spacing w:after="60" w:before="100"/>
            </w:pPr>
            <w:r>
              <w:rPr>
                <w:b/>
                <w:bCs/>
                <w:color w:val="166534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VP of Product</w:t>
            </w:r>
            <w:r>
              <w:t xml:space="preserve"> — </w:t>
            </w:r>
            <w:r>
              <w:rPr>
                <w:b/>
                <w:bCs/>
                <w:color w:val="166534"/>
                <w:sz w:val="19"/>
                <w:szCs w:val="19"/>
              </w:rPr>
              <w:t xml:space="preserve">FinFlow Technologies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2021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Scaled product organization from 12 to 45 members, delivering 3 core revenue products that grew ARR from £18M to £65M.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Reduced customer onboarding churn by 32% through product-led onboarding experiments.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Spearheaded European market entry, acquiring 80,000 active business accounts in 12 months.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Director of Product Management</w:t>
            </w:r>
            <w:r>
              <w:t xml:space="preserve"> — </w:t>
            </w:r>
            <w:r>
              <w:rPr>
                <w:b/>
                <w:bCs/>
                <w:color w:val="166534"/>
                <w:sz w:val="19"/>
                <w:szCs w:val="19"/>
              </w:rPr>
              <w:t xml:space="preserve">Revolut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2017 – 2021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Owned Revolut Business merchant acquiring platform handling over £1.2B monthly volume.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Launched instant international settlements, generating £12M in annual high-margin revenue.</w:t>
            </w:r>
          </w:p>
          <w:p>
            <w:pPr>
              <w:pBdr>
                <w:bottom w:val="single" w:color="166534" w:sz="12" w:space="4"/>
              </w:pBdr>
              <w:spacing w:after="60" w:before="100"/>
            </w:pPr>
            <w:r>
              <w:rPr>
                <w:b/>
                <w:bCs/>
                <w:color w:val="166534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MBA, Strategy &amp; Finance</w:t>
            </w:r>
            <w:r>
              <w:rPr>
                <w:color w:val="475569"/>
                <w:sz w:val="18"/>
                <w:szCs w:val="18"/>
              </w:rPr>
              <w:t xml:space="preserve"> — London Business School (LBS) (2015 – 2017)</w:t>
            </w:r>
          </w:p>
        </w:tc>
      </w:tr>
    </w:tbl>
    <w:sectPr>
      <w:pgSz w:w="11906" w:h="16838" w:orient="portrait"/>
      <w:pgMar w:top="540" w:right="540" w:bottom="54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 Executive Resume Template</dc:title>
  <dc:creator>ReachRole</dc:creator>
  <cp:lastModifiedBy>Un-named</cp:lastModifiedBy>
  <cp:revision>1</cp:revision>
  <dcterms:created xsi:type="dcterms:W3CDTF">2026-09-23T19:10:18.268Z</dcterms:created>
  <dcterms:modified xsi:type="dcterms:W3CDTF">2026-09-23T19:10:18.268Z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